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73B1" w14:textId="77777777" w:rsidR="00B16845" w:rsidRDefault="00000000">
      <w:pPr>
        <w:pStyle w:val="Corpodetexto"/>
        <w:ind w:left="1018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w:drawing>
          <wp:inline distT="0" distB="0" distL="0" distR="0" wp14:anchorId="5996C2F4" wp14:editId="07C1E828">
            <wp:extent cx="5048295" cy="1256823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95" cy="1256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10B92" w14:textId="77777777" w:rsidR="00B16845" w:rsidRDefault="00000000">
      <w:pPr>
        <w:pStyle w:val="Ttulo"/>
        <w:spacing w:line="360" w:lineRule="auto"/>
      </w:pPr>
      <w:r>
        <w:t>CONTRATAÇÃO DE EMPRESA NA ÁREA DE ENGENHARIA PARA A REFORMA DA PRAÇA DO ROTARY, LOCALIZADO NO BAIRRO DO LIVRAMENTO NA CIDADE DA VITÓRIA DE SANTO ANTÃO – PE.</w:t>
      </w:r>
    </w:p>
    <w:p w14:paraId="3B059158" w14:textId="77777777" w:rsidR="00B16845" w:rsidRDefault="00B16845">
      <w:pPr>
        <w:pStyle w:val="Corpodetexto"/>
        <w:spacing w:before="109"/>
        <w:rPr>
          <w:b/>
          <w:i w:val="0"/>
          <w:sz w:val="24"/>
        </w:rPr>
      </w:pPr>
    </w:p>
    <w:p w14:paraId="5FA5A460" w14:textId="77777777" w:rsidR="00B16845" w:rsidRDefault="00000000">
      <w:pPr>
        <w:ind w:left="14"/>
        <w:jc w:val="center"/>
        <w:rPr>
          <w:b/>
        </w:rPr>
      </w:pPr>
      <w:r>
        <w:rPr>
          <w:b/>
        </w:rPr>
        <w:t>ANÁLISE</w:t>
      </w:r>
      <w:r>
        <w:rPr>
          <w:b/>
          <w:spacing w:val="-8"/>
        </w:rPr>
        <w:t xml:space="preserve"> </w:t>
      </w:r>
      <w:r>
        <w:rPr>
          <w:b/>
        </w:rPr>
        <w:t>QUANDO</w:t>
      </w:r>
      <w:r>
        <w:rPr>
          <w:b/>
          <w:spacing w:val="-8"/>
        </w:rPr>
        <w:t xml:space="preserve"> </w:t>
      </w:r>
      <w:r>
        <w:rPr>
          <w:b/>
        </w:rPr>
        <w:t>À</w:t>
      </w:r>
      <w:r>
        <w:rPr>
          <w:b/>
          <w:spacing w:val="-8"/>
        </w:rPr>
        <w:t xml:space="preserve"> </w:t>
      </w:r>
      <w:r>
        <w:rPr>
          <w:b/>
        </w:rPr>
        <w:t>ADOÇÃO</w:t>
      </w:r>
      <w:r>
        <w:rPr>
          <w:b/>
          <w:spacing w:val="-8"/>
        </w:rPr>
        <w:t xml:space="preserve"> </w:t>
      </w:r>
      <w:r>
        <w:rPr>
          <w:b/>
        </w:rPr>
        <w:t>DO</w:t>
      </w:r>
      <w:r>
        <w:rPr>
          <w:b/>
          <w:spacing w:val="-8"/>
        </w:rPr>
        <w:t xml:space="preserve"> </w:t>
      </w:r>
      <w:r>
        <w:rPr>
          <w:b/>
        </w:rPr>
        <w:t>REGIME</w:t>
      </w:r>
      <w:r>
        <w:rPr>
          <w:b/>
          <w:spacing w:val="-8"/>
        </w:rPr>
        <w:t xml:space="preserve"> </w:t>
      </w:r>
      <w:r>
        <w:rPr>
          <w:b/>
        </w:rPr>
        <w:t>MAIS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VANTAJOSO</w:t>
      </w:r>
    </w:p>
    <w:p w14:paraId="709FD4AF" w14:textId="77777777" w:rsidR="00B16845" w:rsidRDefault="00B16845">
      <w:pPr>
        <w:pStyle w:val="Corpodetexto"/>
        <w:spacing w:before="248"/>
        <w:rPr>
          <w:b/>
          <w:i w:val="0"/>
        </w:rPr>
      </w:pPr>
    </w:p>
    <w:p w14:paraId="3EAF274C" w14:textId="77777777" w:rsidR="00B16845" w:rsidRDefault="00000000">
      <w:pPr>
        <w:pStyle w:val="Ttulo1"/>
        <w:spacing w:line="360" w:lineRule="auto"/>
        <w:ind w:left="31" w:right="10"/>
        <w:jc w:val="both"/>
      </w:pPr>
      <w:r>
        <w:t>Em</w:t>
      </w:r>
      <w:r>
        <w:rPr>
          <w:spacing w:val="-17"/>
        </w:rPr>
        <w:t xml:space="preserve"> </w:t>
      </w:r>
      <w:r>
        <w:t>atendimento</w:t>
      </w:r>
      <w:r>
        <w:rPr>
          <w:spacing w:val="-17"/>
        </w:rPr>
        <w:t xml:space="preserve"> </w:t>
      </w:r>
      <w:r>
        <w:t>ao</w:t>
      </w:r>
      <w:r>
        <w:rPr>
          <w:spacing w:val="-16"/>
        </w:rPr>
        <w:t xml:space="preserve"> </w:t>
      </w:r>
      <w:r>
        <w:t>Tribunal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Contas</w:t>
      </w:r>
      <w:r>
        <w:rPr>
          <w:spacing w:val="-17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Estado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Pernambuco</w:t>
      </w:r>
      <w:r>
        <w:rPr>
          <w:spacing w:val="-16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TCEPE</w:t>
      </w:r>
      <w:r>
        <w:rPr>
          <w:spacing w:val="-17"/>
        </w:rPr>
        <w:t xml:space="preserve"> </w:t>
      </w:r>
      <w:r>
        <w:t>com</w:t>
      </w:r>
      <w:r>
        <w:rPr>
          <w:spacing w:val="-16"/>
        </w:rPr>
        <w:t xml:space="preserve"> </w:t>
      </w:r>
      <w:r>
        <w:t>referência às orientações da Procuradoria Geral do Estado de Pernambuco – PGE, apresentamos nossa analise para justificatória quanto ao critério adotado para eleger o regime mais vantajoso. Embasamento jurídico:</w:t>
      </w:r>
    </w:p>
    <w:p w14:paraId="608373D6" w14:textId="77777777" w:rsidR="00B16845" w:rsidRDefault="00B16845">
      <w:pPr>
        <w:pStyle w:val="Corpodetexto"/>
        <w:spacing w:before="143"/>
        <w:rPr>
          <w:rFonts w:ascii="Arial MT"/>
          <w:i w:val="0"/>
          <w:sz w:val="24"/>
        </w:rPr>
      </w:pPr>
    </w:p>
    <w:p w14:paraId="2DFFC1CB" w14:textId="7DE0CD03" w:rsidR="00B16845" w:rsidRDefault="00000000">
      <w:pPr>
        <w:pStyle w:val="Corpodetexto"/>
        <w:spacing w:line="360" w:lineRule="auto"/>
        <w:ind w:left="2912" w:right="7"/>
        <w:jc w:val="both"/>
      </w:pPr>
      <w:r>
        <w:t>“Boletim</w:t>
      </w:r>
      <w:r>
        <w:rPr>
          <w:spacing w:val="-12"/>
        </w:rPr>
        <w:t xml:space="preserve"> </w:t>
      </w:r>
      <w:r>
        <w:t>PGE</w:t>
      </w:r>
      <w:r>
        <w:rPr>
          <w:spacing w:val="-12"/>
        </w:rPr>
        <w:t xml:space="preserve"> </w:t>
      </w:r>
      <w:r>
        <w:t>02/2016:</w:t>
      </w:r>
      <w:r>
        <w:rPr>
          <w:spacing w:val="-14"/>
        </w:rPr>
        <w:t xml:space="preserve"> </w:t>
      </w:r>
      <w:r>
        <w:t>Assim,</w:t>
      </w:r>
      <w:r>
        <w:rPr>
          <w:spacing w:val="-14"/>
        </w:rPr>
        <w:t xml:space="preserve"> </w:t>
      </w:r>
      <w:r>
        <w:t>diante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sistemática</w:t>
      </w:r>
      <w:r>
        <w:rPr>
          <w:spacing w:val="-11"/>
        </w:rPr>
        <w:t xml:space="preserve"> </w:t>
      </w:r>
      <w:r>
        <w:t>vigente</w:t>
      </w:r>
      <w:r>
        <w:rPr>
          <w:spacing w:val="-11"/>
        </w:rPr>
        <w:t xml:space="preserve"> </w:t>
      </w:r>
      <w:r>
        <w:t>desde</w:t>
      </w:r>
      <w:r>
        <w:rPr>
          <w:spacing w:val="-11"/>
        </w:rPr>
        <w:t xml:space="preserve"> </w:t>
      </w:r>
      <w:r>
        <w:t>1º de</w:t>
      </w:r>
      <w:r>
        <w:rPr>
          <w:spacing w:val="-12"/>
        </w:rPr>
        <w:t xml:space="preserve"> </w:t>
      </w:r>
      <w:r>
        <w:t>dezembro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2015,</w:t>
      </w:r>
      <w:r>
        <w:rPr>
          <w:spacing w:val="-15"/>
        </w:rPr>
        <w:t xml:space="preserve"> </w:t>
      </w:r>
      <w:r>
        <w:t>em</w:t>
      </w:r>
      <w:r>
        <w:rPr>
          <w:spacing w:val="-13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utilização</w:t>
      </w:r>
      <w:r>
        <w:rPr>
          <w:spacing w:val="-15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regime</w:t>
      </w:r>
      <w:r>
        <w:rPr>
          <w:spacing w:val="-12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desoneração da folha de pagamento é facultativa, e considerando o aumento da alíquota incidente sobre</w:t>
      </w:r>
      <w:r>
        <w:rPr>
          <w:spacing w:val="-4"/>
        </w:rPr>
        <w:t xml:space="preserve"> </w:t>
      </w:r>
      <w:r>
        <w:t>a receita bruta,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orientação mais adequada para preservar a economicidade das contratações de obras públicas seria providenciar a elaboração de</w:t>
      </w:r>
      <w:r>
        <w:rPr>
          <w:spacing w:val="-1"/>
        </w:rPr>
        <w:t xml:space="preserve"> </w:t>
      </w:r>
      <w:r>
        <w:t>dois orçamentos referenciais, um na</w:t>
      </w:r>
      <w:r>
        <w:rPr>
          <w:spacing w:val="-2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onerada</w:t>
      </w:r>
      <w:r>
        <w:rPr>
          <w:spacing w:val="-2"/>
        </w:rPr>
        <w:t xml:space="preserve"> </w:t>
      </w:r>
      <w:r>
        <w:t>(aplicação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contribuição</w:t>
      </w:r>
      <w:r>
        <w:rPr>
          <w:spacing w:val="-2"/>
        </w:rPr>
        <w:t xml:space="preserve"> </w:t>
      </w:r>
      <w:r>
        <w:t>previdenciária</w:t>
      </w:r>
      <w:r>
        <w:rPr>
          <w:spacing w:val="-2"/>
        </w:rPr>
        <w:t xml:space="preserve"> </w:t>
      </w:r>
      <w:r>
        <w:t>sobre os</w:t>
      </w:r>
      <w:r>
        <w:rPr>
          <w:spacing w:val="-7"/>
        </w:rPr>
        <w:t xml:space="preserve"> </w:t>
      </w:r>
      <w:r>
        <w:t>encargos</w:t>
      </w:r>
      <w:r>
        <w:rPr>
          <w:spacing w:val="-5"/>
        </w:rPr>
        <w:t xml:space="preserve"> </w:t>
      </w:r>
      <w:r>
        <w:t>sociais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exclusão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qualquer</w:t>
      </w:r>
      <w:r>
        <w:rPr>
          <w:spacing w:val="-9"/>
        </w:rPr>
        <w:t xml:space="preserve"> </w:t>
      </w:r>
      <w:r>
        <w:t>parcela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CPRB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BDI das obras) e outro na atual condição desonerada (exclusão de qualquer parcela do INSS</w:t>
      </w:r>
      <w:r>
        <w:rPr>
          <w:spacing w:val="-1"/>
        </w:rPr>
        <w:t xml:space="preserve"> </w:t>
      </w:r>
      <w:r>
        <w:t xml:space="preserve">dos encargos sociais e inclusão da CPRB no BDI, à alíquota de </w:t>
      </w:r>
      <w:r w:rsidR="00FC3FC5">
        <w:t>3</w:t>
      </w:r>
      <w:r>
        <w:t>,5%).</w:t>
      </w:r>
    </w:p>
    <w:p w14:paraId="47BA558C" w14:textId="77777777" w:rsidR="00B16845" w:rsidRDefault="00B16845">
      <w:pPr>
        <w:pStyle w:val="Corpodetexto"/>
        <w:spacing w:before="126"/>
      </w:pPr>
    </w:p>
    <w:p w14:paraId="5270BCAA" w14:textId="77777777" w:rsidR="00B16845" w:rsidRDefault="00000000">
      <w:pPr>
        <w:pStyle w:val="Corpodetexto"/>
        <w:spacing w:line="360" w:lineRule="auto"/>
        <w:ind w:left="2912"/>
        <w:jc w:val="both"/>
      </w:pPr>
      <w:r>
        <w:t>Após a elaboração dos dois orçamentos, deve-se eleger como referência final o orçamento que apresentar menor valor, indicando- se no edital o regime utilizado. “</w:t>
      </w:r>
    </w:p>
    <w:p w14:paraId="4A02B9AC" w14:textId="77777777" w:rsidR="00B16845" w:rsidRDefault="00B16845">
      <w:pPr>
        <w:pStyle w:val="Corpodetexto"/>
        <w:spacing w:before="130"/>
      </w:pPr>
    </w:p>
    <w:p w14:paraId="6599D53F" w14:textId="325AA9A0" w:rsidR="00B16845" w:rsidRDefault="00000000">
      <w:pPr>
        <w:spacing w:line="360" w:lineRule="auto"/>
        <w:ind w:left="459" w:right="545"/>
        <w:jc w:val="both"/>
        <w:rPr>
          <w:b/>
          <w:sz w:val="24"/>
        </w:rPr>
      </w:pPr>
      <w:r>
        <w:rPr>
          <w:rFonts w:ascii="Arial MT" w:hAnsi="Arial MT"/>
          <w:sz w:val="24"/>
        </w:rPr>
        <w:t>Desta forma elaboramos duas planilhas levando em consideração regimes distintos</w:t>
      </w:r>
      <w:r>
        <w:rPr>
          <w:rFonts w:ascii="Arial MT" w:hAnsi="Arial MT"/>
          <w:spacing w:val="-8"/>
          <w:sz w:val="24"/>
        </w:rPr>
        <w:t xml:space="preserve"> </w:t>
      </w:r>
      <w:r>
        <w:rPr>
          <w:rFonts w:ascii="Arial MT" w:hAnsi="Arial MT"/>
          <w:sz w:val="24"/>
        </w:rPr>
        <w:t>em</w:t>
      </w:r>
      <w:r>
        <w:rPr>
          <w:rFonts w:ascii="Arial MT" w:hAnsi="Arial MT"/>
          <w:spacing w:val="-8"/>
          <w:sz w:val="24"/>
        </w:rPr>
        <w:t xml:space="preserve"> </w:t>
      </w:r>
      <w:r>
        <w:rPr>
          <w:rFonts w:ascii="Arial MT" w:hAnsi="Arial MT"/>
          <w:sz w:val="24"/>
        </w:rPr>
        <w:t>cada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uma,</w:t>
      </w:r>
      <w:r>
        <w:rPr>
          <w:rFonts w:ascii="Arial MT" w:hAnsi="Arial MT"/>
          <w:spacing w:val="-7"/>
          <w:sz w:val="24"/>
        </w:rPr>
        <w:t xml:space="preserve"> </w:t>
      </w:r>
      <w:r>
        <w:rPr>
          <w:rFonts w:ascii="Arial MT" w:hAnsi="Arial MT"/>
          <w:sz w:val="24"/>
        </w:rPr>
        <w:t>comparando-os</w:t>
      </w:r>
      <w:r>
        <w:rPr>
          <w:rFonts w:ascii="Arial MT" w:hAnsi="Arial MT"/>
          <w:spacing w:val="-8"/>
          <w:sz w:val="24"/>
        </w:rPr>
        <w:t xml:space="preserve"> </w:t>
      </w:r>
      <w:r>
        <w:rPr>
          <w:rFonts w:ascii="Arial MT" w:hAnsi="Arial MT"/>
          <w:sz w:val="24"/>
        </w:rPr>
        <w:t>e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ao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final</w:t>
      </w:r>
      <w:r>
        <w:rPr>
          <w:rFonts w:ascii="Arial MT" w:hAnsi="Arial MT"/>
          <w:spacing w:val="-9"/>
          <w:sz w:val="24"/>
        </w:rPr>
        <w:t xml:space="preserve"> </w:t>
      </w:r>
      <w:r>
        <w:rPr>
          <w:rFonts w:ascii="Arial MT" w:hAnsi="Arial MT"/>
          <w:sz w:val="24"/>
        </w:rPr>
        <w:t>elegendo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planilha</w:t>
      </w:r>
      <w:r>
        <w:rPr>
          <w:rFonts w:ascii="Arial MT" w:hAnsi="Arial MT"/>
          <w:spacing w:val="-10"/>
          <w:sz w:val="24"/>
        </w:rPr>
        <w:t xml:space="preserve"> </w:t>
      </w:r>
      <w:r>
        <w:rPr>
          <w:rFonts w:ascii="Arial MT" w:hAnsi="Arial MT"/>
          <w:sz w:val="24"/>
        </w:rPr>
        <w:t>com</w:t>
      </w:r>
      <w:r>
        <w:rPr>
          <w:rFonts w:ascii="Arial MT" w:hAnsi="Arial MT"/>
          <w:spacing w:val="-8"/>
          <w:sz w:val="24"/>
        </w:rPr>
        <w:t xml:space="preserve"> </w:t>
      </w:r>
      <w:r>
        <w:rPr>
          <w:rFonts w:ascii="Arial MT" w:hAnsi="Arial MT"/>
          <w:sz w:val="24"/>
        </w:rPr>
        <w:t xml:space="preserve">regime </w:t>
      </w:r>
      <w:r>
        <w:rPr>
          <w:b/>
          <w:sz w:val="24"/>
        </w:rPr>
        <w:t xml:space="preserve">NÃO DESONERADO </w:t>
      </w:r>
      <w:r>
        <w:rPr>
          <w:rFonts w:ascii="Arial MT" w:hAnsi="Arial MT"/>
          <w:sz w:val="24"/>
        </w:rPr>
        <w:t xml:space="preserve">como o mais vantajoso para esta administração conforme planilha demonstrativa, culminando no preço final do objeto de </w:t>
      </w:r>
      <w:r>
        <w:rPr>
          <w:b/>
          <w:sz w:val="24"/>
        </w:rPr>
        <w:t xml:space="preserve">R$ </w:t>
      </w:r>
      <w:r w:rsidR="00FC3FC5" w:rsidRPr="00FC3FC5">
        <w:rPr>
          <w:b/>
          <w:sz w:val="24"/>
        </w:rPr>
        <w:t>494</w:t>
      </w:r>
      <w:r w:rsidR="00FC3FC5">
        <w:rPr>
          <w:b/>
          <w:sz w:val="24"/>
        </w:rPr>
        <w:t>.</w:t>
      </w:r>
      <w:r w:rsidR="00FC3FC5" w:rsidRPr="00FC3FC5">
        <w:rPr>
          <w:b/>
          <w:sz w:val="24"/>
        </w:rPr>
        <w:t>708,93</w:t>
      </w:r>
      <w:r>
        <w:rPr>
          <w:b/>
          <w:sz w:val="24"/>
        </w:rPr>
        <w:t xml:space="preserve"> (</w:t>
      </w:r>
      <w:r w:rsidR="00FC3FC5" w:rsidRPr="00FC3FC5">
        <w:rPr>
          <w:b/>
          <w:sz w:val="24"/>
        </w:rPr>
        <w:t>QUATROCENTOS E NOVENTA E QUATRO MIL, SETECENTOS E OITO REAIS E NOVENTA E TRÊS CENTAVOS</w:t>
      </w:r>
      <w:r>
        <w:rPr>
          <w:b/>
          <w:sz w:val="24"/>
        </w:rPr>
        <w:t>).</w:t>
      </w:r>
    </w:p>
    <w:sectPr w:rsidR="00B16845">
      <w:footerReference w:type="default" r:id="rId7"/>
      <w:type w:val="continuous"/>
      <w:pgSz w:w="11920" w:h="16840"/>
      <w:pgMar w:top="180" w:right="1133" w:bottom="680" w:left="1133" w:header="0" w:footer="49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0C9F1" w14:textId="77777777" w:rsidR="00A9639D" w:rsidRDefault="00A9639D">
      <w:r>
        <w:separator/>
      </w:r>
    </w:p>
  </w:endnote>
  <w:endnote w:type="continuationSeparator" w:id="0">
    <w:p w14:paraId="76E659E2" w14:textId="77777777" w:rsidR="00A9639D" w:rsidRDefault="00A9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F1009" w14:textId="77777777" w:rsidR="00B16845" w:rsidRDefault="00000000">
    <w:pPr>
      <w:pStyle w:val="Corpodetexto"/>
      <w:spacing w:line="14" w:lineRule="auto"/>
      <w:rPr>
        <w:i w:val="0"/>
        <w:sz w:val="20"/>
      </w:rPr>
    </w:pPr>
    <w:r>
      <w:rPr>
        <w:i w:val="0"/>
        <w:noProof/>
        <w:sz w:val="20"/>
      </w:rPr>
      <mc:AlternateContent>
        <mc:Choice Requires="wps">
          <w:drawing>
            <wp:anchor distT="0" distB="0" distL="0" distR="0" simplePos="0" relativeHeight="487561216" behindDoc="1" locked="0" layoutInCell="1" allowOverlap="1" wp14:anchorId="199528E1" wp14:editId="0A4E04E7">
              <wp:simplePos x="0" y="0"/>
              <wp:positionH relativeFrom="page">
                <wp:posOffset>6753606</wp:posOffset>
              </wp:positionH>
              <wp:positionV relativeFrom="page">
                <wp:posOffset>10238955</wp:posOffset>
              </wp:positionV>
              <wp:extent cx="103505" cy="1816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350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64E39B" w14:textId="77777777" w:rsidR="00B16845" w:rsidRDefault="00000000">
                          <w:pPr>
                            <w:spacing w:before="13"/>
                            <w:ind w:left="2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9528E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1.8pt;margin-top:806.2pt;width:8.15pt;height:14.3pt;z-index:-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" filled="f" stroked="f">
              <v:textbox inset="0,0,0,0">
                <w:txbxContent>
                  <w:p w14:paraId="0464E39B" w14:textId="77777777" w:rsidR="00B16845" w:rsidRDefault="00000000">
                    <w:pPr>
                      <w:spacing w:before="13"/>
                      <w:ind w:left="2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i w:val="0"/>
        <w:noProof/>
        <w:sz w:val="20"/>
      </w:rPr>
      <mc:AlternateContent>
        <mc:Choice Requires="wps">
          <w:drawing>
            <wp:anchor distT="0" distB="0" distL="0" distR="0" simplePos="0" relativeHeight="487561728" behindDoc="1" locked="0" layoutInCell="1" allowOverlap="1" wp14:anchorId="6E1EB821" wp14:editId="2B8ABC41">
              <wp:simplePos x="0" y="0"/>
              <wp:positionH relativeFrom="page">
                <wp:posOffset>683577</wp:posOffset>
              </wp:positionH>
              <wp:positionV relativeFrom="page">
                <wp:posOffset>10286682</wp:posOffset>
              </wp:positionV>
              <wp:extent cx="565912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912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109ABC" w14:textId="77777777" w:rsidR="00B16845" w:rsidRDefault="00000000">
                          <w:pPr>
                            <w:spacing w:line="264" w:lineRule="exact"/>
                            <w:ind w:left="20"/>
                            <w:rPr>
                              <w:rFonts w:ascii="Calibri" w:hAnsi="Calibri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sz w:val="24"/>
                            </w:rPr>
                            <w:t>Rua</w:t>
                          </w:r>
                          <w:r>
                            <w:rPr>
                              <w:rFonts w:ascii="Calibri" w:hAnsi="Calibri"/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Demócrito</w:t>
                          </w:r>
                          <w:r>
                            <w:rPr>
                              <w:rFonts w:ascii="Calibri" w:hAnsi="Calibri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Cavalcanti,</w:t>
                          </w:r>
                          <w:r>
                            <w:rPr>
                              <w:rFonts w:ascii="Calibri" w:hAnsi="Calibri"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144</w:t>
                          </w:r>
                          <w:r>
                            <w:rPr>
                              <w:rFonts w:ascii="Calibri" w:hAnsi="Calibri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– Livramento,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Vitória</w:t>
                          </w:r>
                          <w:r>
                            <w:rPr>
                              <w:rFonts w:ascii="Calibri" w:hAnsi="Calibri"/>
                              <w:spacing w:val="-1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spacing w:val="-1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Santo</w:t>
                          </w:r>
                          <w:r>
                            <w:rPr>
                              <w:rFonts w:ascii="Calibri" w:hAnsi="Calibri"/>
                              <w:spacing w:val="-1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Antão</w:t>
                          </w:r>
                          <w:r>
                            <w:rPr>
                              <w:rFonts w:ascii="Calibri" w:hAnsi="Calibri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PE</w:t>
                          </w:r>
                          <w:r>
                            <w:rPr>
                              <w:rFonts w:ascii="Calibri" w:hAnsi="Calibri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CEP: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4"/>
                            </w:rPr>
                            <w:t>55.612-</w:t>
                          </w:r>
                          <w:r>
                            <w:rPr>
                              <w:rFonts w:ascii="Calibri" w:hAnsi="Calibri"/>
                              <w:spacing w:val="-5"/>
                              <w:sz w:val="24"/>
                            </w:rPr>
                            <w:t>010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1EB821" id="Textbox 2" o:spid="_x0000_s1027" type="#_x0000_t202" style="position:absolute;margin-left:53.8pt;margin-top:809.95pt;width:445.6pt;height:14pt;z-index:-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" filled="f" stroked="f">
              <v:textbox inset="0,0,0,0">
                <w:txbxContent>
                  <w:p w14:paraId="19109ABC" w14:textId="77777777" w:rsidR="00B16845" w:rsidRDefault="00000000">
                    <w:pPr>
                      <w:spacing w:line="264" w:lineRule="exact"/>
                      <w:ind w:left="20"/>
                      <w:rPr>
                        <w:rFonts w:ascii="Calibri" w:hAnsi="Calibri"/>
                        <w:sz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>Rua</w:t>
                    </w:r>
                    <w:r>
                      <w:rPr>
                        <w:rFonts w:ascii="Calibri" w:hAnsi="Calibri"/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Demócrito</w:t>
                    </w:r>
                    <w:r>
                      <w:rPr>
                        <w:rFonts w:ascii="Calibri" w:hAnsi="Calibri"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Cavalcanti,</w:t>
                    </w:r>
                    <w:r>
                      <w:rPr>
                        <w:rFonts w:ascii="Calibri" w:hAnsi="Calibri"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144</w:t>
                    </w:r>
                    <w:r>
                      <w:rPr>
                        <w:rFonts w:ascii="Calibri" w:hAnsi="Calibri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– Livramento,</w:t>
                    </w:r>
                    <w:r>
                      <w:rPr>
                        <w:rFonts w:ascii="Calibri" w:hAnsi="Calibri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Vitória</w:t>
                    </w:r>
                    <w:r>
                      <w:rPr>
                        <w:rFonts w:ascii="Calibri" w:hAnsi="Calibri"/>
                        <w:spacing w:val="-13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de</w:t>
                    </w:r>
                    <w:r>
                      <w:rPr>
                        <w:rFonts w:ascii="Calibri" w:hAnsi="Calibri"/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Santo</w:t>
                    </w:r>
                    <w:r>
                      <w:rPr>
                        <w:rFonts w:ascii="Calibri" w:hAnsi="Calibri"/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Antão</w:t>
                    </w:r>
                    <w:r>
                      <w:rPr>
                        <w:rFonts w:ascii="Calibri" w:hAnsi="Calibri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–</w:t>
                    </w:r>
                    <w:r>
                      <w:rPr>
                        <w:rFonts w:ascii="Calibri" w:hAnsi="Calibri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PE</w:t>
                    </w:r>
                    <w:r>
                      <w:rPr>
                        <w:rFonts w:ascii="Calibri" w:hAnsi="Calibri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–</w:t>
                    </w:r>
                    <w:r>
                      <w:rPr>
                        <w:rFonts w:ascii="Calibri" w:hAnsi="Calibri"/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CEP:</w:t>
                    </w:r>
                    <w:r>
                      <w:rPr>
                        <w:rFonts w:ascii="Calibri" w:hAnsi="Calibri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4"/>
                      </w:rPr>
                      <w:t>55.612-</w:t>
                    </w:r>
                    <w:r>
                      <w:rPr>
                        <w:rFonts w:ascii="Calibri" w:hAnsi="Calibri"/>
                        <w:spacing w:val="-5"/>
                        <w:sz w:val="24"/>
                      </w:rPr>
                      <w:t>010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F32B5" w14:textId="77777777" w:rsidR="00A9639D" w:rsidRDefault="00A9639D">
      <w:r>
        <w:separator/>
      </w:r>
    </w:p>
  </w:footnote>
  <w:footnote w:type="continuationSeparator" w:id="0">
    <w:p w14:paraId="4796A800" w14:textId="77777777" w:rsidR="00A9639D" w:rsidRDefault="00A963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845"/>
    <w:rsid w:val="00A9639D"/>
    <w:rsid w:val="00B16845"/>
    <w:rsid w:val="00FC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8FEE2"/>
  <w15:docId w15:val="{EB248564-9AC6-464D-8638-104C0CD9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ind w:left="20"/>
      <w:outlineLvl w:val="0"/>
    </w:pPr>
    <w:rPr>
      <w:rFonts w:ascii="Arial MT" w:eastAsia="Arial MT" w:hAnsi="Arial MT" w:cs="Arial MT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</w:rPr>
  </w:style>
  <w:style w:type="paragraph" w:styleId="Ttulo">
    <w:name w:val="Title"/>
    <w:basedOn w:val="Normal"/>
    <w:uiPriority w:val="10"/>
    <w:qFormat/>
    <w:pPr>
      <w:spacing w:before="235"/>
      <w:ind w:left="31" w:right="5"/>
      <w:jc w:val="both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secretaria.obras</dc:creator>
  <cp:lastModifiedBy>OBRAS</cp:lastModifiedBy>
  <cp:revision>2</cp:revision>
  <dcterms:created xsi:type="dcterms:W3CDTF">2025-07-16T13:28:00Z</dcterms:created>
  <dcterms:modified xsi:type="dcterms:W3CDTF">2025-07-16T13:28:00Z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2025-07-16T00:00:00Z</vt:filetime>
  </property>
  <property fmtid="{D5CDD505-2E9C-101B-9397-08002B2CF9AE}" pid="5" name="Producer">
    <vt:lpwstr>Microsoft® Word 2016</vt:lpwstr>
  </property>
</Properties>
</file>